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E" w:rsidRDefault="001C36CE">
      <w:pPr>
        <w:pStyle w:val="ConsPlusNormal"/>
        <w:outlineLvl w:val="0"/>
      </w:pPr>
      <w:r>
        <w:rPr>
          <w:b/>
          <w:sz w:val="32"/>
        </w:rPr>
        <w:t>Особенности отражения в 6-НДФЛ дивидендов физлица - налогового резидента РФ, если организация сама получает дивиденды</w:t>
      </w:r>
    </w:p>
    <w:p w:rsidR="001C36CE" w:rsidRDefault="001C36CE">
      <w:pPr>
        <w:pStyle w:val="ConsPlusNormal"/>
        <w:spacing w:before="220"/>
        <w:jc w:val="both"/>
      </w:pPr>
      <w:r>
        <w:t xml:space="preserve">Организация учитывает исчисленный и удержанный налог на прибыль в отношении полученных ею дивидендов при </w:t>
      </w:r>
      <w:hyperlink r:id="rId6">
        <w:r>
          <w:rPr>
            <w:color w:val="0000FF"/>
          </w:rPr>
          <w:t>расчете</w:t>
        </w:r>
      </w:hyperlink>
      <w:r>
        <w:t xml:space="preserve"> НДФЛ с дивидендов физлица (</w:t>
      </w:r>
      <w:hyperlink r:id="rId7">
        <w:r>
          <w:rPr>
            <w:color w:val="0000FF"/>
          </w:rPr>
          <w:t>п. 3.1 ст. 214</w:t>
        </w:r>
      </w:hyperlink>
      <w:r>
        <w:t xml:space="preserve"> НК РФ).</w:t>
      </w:r>
    </w:p>
    <w:p w:rsidR="001C36CE" w:rsidRDefault="001C36CE">
      <w:pPr>
        <w:pStyle w:val="ConsPlusNormal"/>
        <w:spacing w:before="220"/>
        <w:jc w:val="both"/>
      </w:pPr>
      <w:r>
        <w:t>При отражении в 6-НДФЛ налога с дивидендов физлиц - налоговых резидентов РФ учтите такие особенности:</w:t>
      </w:r>
    </w:p>
    <w:p w:rsidR="001C36CE" w:rsidRDefault="001C36CE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в </w:t>
      </w:r>
      <w:hyperlink r:id="rId8">
        <w:r>
          <w:rPr>
            <w:color w:val="0000FF"/>
          </w:rPr>
          <w:t>разд. 1</w:t>
        </w:r>
      </w:hyperlink>
      <w:r>
        <w:t xml:space="preserve"> расчета отразите сумму налога, удержанного с выплаченных дивидендов (с учетом уменьшения на сумму налога на прибыль организаций, подлежащую зачету).</w:t>
      </w:r>
    </w:p>
    <w:p w:rsidR="001C36CE" w:rsidRDefault="001C36CE">
      <w:pPr>
        <w:pStyle w:val="ConsPlusNormal"/>
        <w:spacing w:before="220"/>
        <w:ind w:left="540"/>
        <w:jc w:val="both"/>
      </w:pPr>
      <w:r>
        <w:t xml:space="preserve">Если до зачета сумма исчисленного с дивидендов НДФЛ за налоговый период превышала 312 тыс. руб., то </w:t>
      </w:r>
      <w:hyperlink r:id="rId9">
        <w:r>
          <w:rPr>
            <w:color w:val="0000FF"/>
          </w:rPr>
          <w:t>разд. 1</w:t>
        </w:r>
      </w:hyperlink>
      <w:r>
        <w:t xml:space="preserve"> заполните отдельно для каждого КБК: для НДФЛ в части налога, превышающего 312 тыс. руб., относящегося к части налоговой базы, превышающей 2,4 млн руб. (182 1 01 02140 01 1000 110), и в части налога, не превышающего эту сумму (182 1 01 02130 01 1000 110).</w:t>
      </w:r>
    </w:p>
    <w:p w:rsidR="001C36CE" w:rsidRDefault="001C36CE">
      <w:pPr>
        <w:pStyle w:val="ConsPlusNormal"/>
        <w:spacing w:before="220"/>
        <w:ind w:left="540"/>
        <w:jc w:val="both"/>
      </w:pPr>
      <w:r>
        <w:t xml:space="preserve">Если при этом после зачета сумма НДФЛ к удержанию не превышает 312 тыс. руб., то в разд. 1 расчета, заполненном по КБК 182 1 01 02140 01 1000 110, в </w:t>
      </w:r>
      <w:hyperlink r:id="rId10">
        <w:r>
          <w:rPr>
            <w:color w:val="0000FF"/>
          </w:rPr>
          <w:t>строке 020</w:t>
        </w:r>
      </w:hyperlink>
      <w:r>
        <w:t xml:space="preserve"> поставьте "0" (</w:t>
      </w:r>
      <w:hyperlink r:id="rId11">
        <w:r>
          <w:rPr>
            <w:color w:val="0000FF"/>
          </w:rPr>
          <w:t>Письмо</w:t>
        </w:r>
      </w:hyperlink>
      <w:r>
        <w:t xml:space="preserve"> ФНС России от 30.03.2021 N БС-4-11/4206@). Приведенные разъяснения даны в отношении устаревших </w:t>
      </w:r>
      <w:hyperlink r:id="rId12">
        <w:r>
          <w:rPr>
            <w:color w:val="0000FF"/>
          </w:rPr>
          <w:t>формы</w:t>
        </w:r>
      </w:hyperlink>
      <w:r>
        <w:t xml:space="preserve"> расчета 6-НДФЛ и редакции Налогового </w:t>
      </w:r>
      <w:hyperlink r:id="rId13">
        <w:r>
          <w:rPr>
            <w:color w:val="0000FF"/>
          </w:rPr>
          <w:t>кодекса</w:t>
        </w:r>
      </w:hyperlink>
      <w:r>
        <w:t xml:space="preserve"> РФ. Тем не менее изложенные в </w:t>
      </w:r>
      <w:hyperlink r:id="rId14">
        <w:r>
          <w:rPr>
            <w:color w:val="0000FF"/>
          </w:rPr>
          <w:t>Письме</w:t>
        </w:r>
      </w:hyperlink>
      <w:r>
        <w:t xml:space="preserve"> выводы считаем по-прежнему актуальными;</w:t>
      </w:r>
    </w:p>
    <w:p w:rsidR="001C36CE" w:rsidRDefault="001C36CE">
      <w:pPr>
        <w:pStyle w:val="ConsPlusNormal"/>
        <w:numPr>
          <w:ilvl w:val="0"/>
          <w:numId w:val="1"/>
        </w:numPr>
        <w:spacing w:before="220"/>
        <w:jc w:val="both"/>
      </w:pPr>
      <w:r>
        <w:t>в разд. 2 отразите:</w:t>
      </w:r>
    </w:p>
    <w:p w:rsidR="001C36CE" w:rsidRDefault="001C36CE">
      <w:pPr>
        <w:pStyle w:val="ConsPlusNormal"/>
        <w:numPr>
          <w:ilvl w:val="1"/>
          <w:numId w:val="1"/>
        </w:numPr>
        <w:spacing w:before="220"/>
        <w:jc w:val="both"/>
      </w:pPr>
      <w:r>
        <w:t xml:space="preserve">сумму исчисленного НДФЛ (в полном размере) - в </w:t>
      </w:r>
      <w:hyperlink r:id="rId15">
        <w:r>
          <w:rPr>
            <w:color w:val="0000FF"/>
          </w:rPr>
          <w:t>строке 140</w:t>
        </w:r>
      </w:hyperlink>
      <w:r>
        <w:t>;</w:t>
      </w:r>
    </w:p>
    <w:p w:rsidR="001C36CE" w:rsidRDefault="001C36CE">
      <w:pPr>
        <w:pStyle w:val="ConsPlusNormal"/>
        <w:numPr>
          <w:ilvl w:val="1"/>
          <w:numId w:val="1"/>
        </w:numPr>
        <w:spacing w:before="220"/>
        <w:jc w:val="both"/>
      </w:pPr>
      <w:r>
        <w:t xml:space="preserve">сумму налога на прибыль, принятую к зачету, - в </w:t>
      </w:r>
      <w:hyperlink r:id="rId16">
        <w:r>
          <w:rPr>
            <w:color w:val="0000FF"/>
          </w:rPr>
          <w:t>строке 155</w:t>
        </w:r>
      </w:hyperlink>
      <w:r>
        <w:t>;</w:t>
      </w:r>
    </w:p>
    <w:p w:rsidR="001C36CE" w:rsidRDefault="001C36CE">
      <w:pPr>
        <w:pStyle w:val="ConsPlusNormal"/>
        <w:numPr>
          <w:ilvl w:val="1"/>
          <w:numId w:val="1"/>
        </w:numPr>
        <w:spacing w:before="220"/>
        <w:jc w:val="both"/>
      </w:pPr>
      <w:r>
        <w:t xml:space="preserve">сумму удержанного налога (с учетом уменьшения на сумму налога на прибыль организаций, подлежащую зачету) - в </w:t>
      </w:r>
      <w:hyperlink r:id="rId17">
        <w:r>
          <w:rPr>
            <w:color w:val="0000FF"/>
          </w:rPr>
          <w:t>строке 160</w:t>
        </w:r>
      </w:hyperlink>
      <w:r>
        <w:t xml:space="preserve">, в том числе с разбивкой по соответствующим периодам удержания налога в </w:t>
      </w:r>
      <w:hyperlink r:id="rId18">
        <w:r>
          <w:rPr>
            <w:color w:val="0000FF"/>
          </w:rPr>
          <w:t>строках 161</w:t>
        </w:r>
      </w:hyperlink>
      <w:r>
        <w:t xml:space="preserve"> - </w:t>
      </w:r>
      <w:hyperlink r:id="rId19">
        <w:r>
          <w:rPr>
            <w:color w:val="0000FF"/>
          </w:rPr>
          <w:t>166</w:t>
        </w:r>
      </w:hyperlink>
      <w:r>
        <w:t>.</w:t>
      </w:r>
    </w:p>
    <w:p w:rsidR="001C36CE" w:rsidRDefault="001C36CE">
      <w:pPr>
        <w:pStyle w:val="ConsPlusNormal"/>
        <w:spacing w:before="220"/>
        <w:ind w:left="540"/>
        <w:jc w:val="both"/>
      </w:pPr>
      <w:r>
        <w:t xml:space="preserve">Если до зачета сумма исчисленного НДФЛ с дивидендов за налоговый период превышала 312 тыс. руб., то </w:t>
      </w:r>
      <w:hyperlink r:id="rId20">
        <w:r>
          <w:rPr>
            <w:color w:val="0000FF"/>
          </w:rPr>
          <w:t>разд. 2</w:t>
        </w:r>
      </w:hyperlink>
      <w:r>
        <w:t xml:space="preserve"> заполните отдельно для каждой комбинации "ставка 13%, КБК 182 1 01 02130 01 1000 110" и "ставка 15%, КБК 182 1 01 02140 01 1000 110".</w:t>
      </w:r>
    </w:p>
    <w:p w:rsidR="001C36CE" w:rsidRDefault="001C36CE">
      <w:pPr>
        <w:pStyle w:val="ConsPlusNormal"/>
        <w:spacing w:before="220"/>
        <w:ind w:left="540"/>
        <w:jc w:val="both"/>
      </w:pPr>
      <w:r>
        <w:t xml:space="preserve">Если при этом после зачета сумма НДФЛ к удержанию не превышает 312 тыс. руб., то в разд. 2 расчета в </w:t>
      </w:r>
      <w:hyperlink r:id="rId21">
        <w:r>
          <w:rPr>
            <w:color w:val="0000FF"/>
          </w:rPr>
          <w:t>строке 160</w:t>
        </w:r>
      </w:hyperlink>
      <w:r>
        <w:t xml:space="preserve"> укажите:</w:t>
      </w:r>
    </w:p>
    <w:p w:rsidR="001C36CE" w:rsidRDefault="001C36CE">
      <w:pPr>
        <w:pStyle w:val="ConsPlusNormal"/>
        <w:numPr>
          <w:ilvl w:val="1"/>
          <w:numId w:val="1"/>
        </w:numPr>
        <w:spacing w:before="220"/>
        <w:jc w:val="both"/>
      </w:pPr>
      <w:r>
        <w:t>сумму удержанного НДФЛ с учетом зачета - когда раздел заполняется по ставке 13%;</w:t>
      </w:r>
    </w:p>
    <w:p w:rsidR="001C36CE" w:rsidRDefault="001C36CE">
      <w:pPr>
        <w:pStyle w:val="ConsPlusNormal"/>
        <w:spacing w:before="220"/>
        <w:jc w:val="both"/>
      </w:pPr>
      <w:r>
        <w:t>"0" - когда раздел заполняется по ставке 15%</w:t>
      </w:r>
    </w:p>
    <w:p w:rsidR="001C36CE" w:rsidRDefault="001C36CE">
      <w:pPr>
        <w:pStyle w:val="ConsPlusNormal"/>
      </w:pPr>
      <w:hyperlink r:id="rId22">
        <w:r>
          <w:rPr>
            <w:i/>
            <w:color w:val="0000FF"/>
          </w:rPr>
          <w:br/>
          <w:t>Готовое решение: Как отразить выплату дивидендов в расчете 6-НДФЛ (КонсультантПлюс, 2025) {КонсультантПлюс}</w:t>
        </w:r>
      </w:hyperlink>
      <w:r>
        <w:br/>
      </w:r>
    </w:p>
    <w:p w:rsidR="004D04E3" w:rsidRDefault="004D04E3">
      <w:bookmarkStart w:id="0" w:name="_GoBack"/>
      <w:bookmarkEnd w:id="0"/>
    </w:p>
    <w:sectPr w:rsidR="004D04E3" w:rsidSect="00EE597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879"/>
    <w:multiLevelType w:val="multilevel"/>
    <w:tmpl w:val="E5B86E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CE"/>
    <w:rsid w:val="001C36CE"/>
    <w:rsid w:val="004D04E3"/>
    <w:rsid w:val="00D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CS&amp;n=469334&amp;dst=39" TargetMode="External"/><Relationship Id="rId13" Type="http://schemas.openxmlformats.org/officeDocument/2006/relationships/hyperlink" Target="https://login.consultant.ru/link/?req=doc&amp;base=DOCS&amp;n=492056" TargetMode="External"/><Relationship Id="rId18" Type="http://schemas.openxmlformats.org/officeDocument/2006/relationships/hyperlink" Target="https://login.consultant.ru/link/?req=doc&amp;base=DOCS&amp;n=469334&amp;dst=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DOCS&amp;n=469334&amp;dst=94" TargetMode="External"/><Relationship Id="rId7" Type="http://schemas.openxmlformats.org/officeDocument/2006/relationships/hyperlink" Target="https://login.consultant.ru/link/?req=doc&amp;base=DOCS&amp;n=500016&amp;dst=20320" TargetMode="External"/><Relationship Id="rId12" Type="http://schemas.openxmlformats.org/officeDocument/2006/relationships/hyperlink" Target="https://login.consultant.ru/link/?req=doc&amp;base=DOCS&amp;n=430182&amp;dst=7" TargetMode="External"/><Relationship Id="rId17" Type="http://schemas.openxmlformats.org/officeDocument/2006/relationships/hyperlink" Target="https://login.consultant.ru/link/?req=doc&amp;base=DOCS&amp;n=469334&amp;dst=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DOCS&amp;n=469334&amp;dst=91" TargetMode="External"/><Relationship Id="rId20" Type="http://schemas.openxmlformats.org/officeDocument/2006/relationships/hyperlink" Target="https://login.consultant.ru/link/?req=doc&amp;base=DOCS&amp;n=469334&amp;dst=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BIB&amp;n=226871&amp;dst=100029" TargetMode="External"/><Relationship Id="rId11" Type="http://schemas.openxmlformats.org/officeDocument/2006/relationships/hyperlink" Target="https://login.consultant.ru/link/?req=doc&amp;base=DOCS&amp;n=381097&amp;dst=1000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DOCS&amp;n=469334&amp;dst=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DOCS&amp;n=469334&amp;dst=41" TargetMode="External"/><Relationship Id="rId19" Type="http://schemas.openxmlformats.org/officeDocument/2006/relationships/hyperlink" Target="https://login.consultant.ru/link/?req=doc&amp;base=DOCS&amp;n=469334&amp;dst=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DOCS&amp;n=469334&amp;dst=39" TargetMode="External"/><Relationship Id="rId14" Type="http://schemas.openxmlformats.org/officeDocument/2006/relationships/hyperlink" Target="https://login.consultant.ru/link/?req=doc&amp;base=DOCS&amp;n=381097" TargetMode="External"/><Relationship Id="rId22" Type="http://schemas.openxmlformats.org/officeDocument/2006/relationships/hyperlink" Target="https://login.consultant.ru/link/?req=doc&amp;base=PBIB&amp;n=226894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2025-09-11T14:27:00Z</dcterms:created>
  <dcterms:modified xsi:type="dcterms:W3CDTF">2025-09-11T14:28:00Z</dcterms:modified>
</cp:coreProperties>
</file>